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0" w:right="-529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</w:rPr>
        <w:t>ЛЕНИНГРАДСКАЯ  ОБЛАСТЬ</w:t>
      </w:r>
    </w:p>
    <w:p>
      <w:pPr>
        <w:pStyle w:val="style1"/>
        <w:numPr>
          <w:ilvl w:val="0"/>
          <w:numId w:val="2"/>
        </w:numPr>
        <w:ind w:hanging="0" w:left="0" w:right="-529"/>
        <w:jc w:val="center"/>
      </w:pPr>
      <w:r>
        <w:rPr>
          <w:color w:val="000000"/>
        </w:rPr>
        <w:t>А Д М И Н И С Т Р А Ц И Я</w:t>
      </w:r>
    </w:p>
    <w:p>
      <w:pPr>
        <w:pStyle w:val="style1"/>
        <w:numPr>
          <w:ilvl w:val="0"/>
          <w:numId w:val="2"/>
        </w:numPr>
        <w:ind w:hanging="0" w:left="0" w:right="-529"/>
        <w:jc w:val="center"/>
      </w:pPr>
      <w:r>
        <w:rPr>
          <w:color w:val="000000"/>
          <w:sz w:val="28"/>
        </w:rPr>
        <w:t>ВОЛОШОВСКОГО СЕЛЬСКОГО ПОСЕЛЕНИЯ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color w:val="000000"/>
        </w:rPr>
        <w:t>ЛУЖСКОГО МУНИЦИПАЛЬНОГО РАЙОНА</w:t>
      </w:r>
    </w:p>
    <w:p>
      <w:pPr>
        <w:pStyle w:val="style0"/>
        <w:tabs>
          <w:tab w:leader="none" w:pos="6262" w:val="left"/>
        </w:tabs>
        <w:spacing w:after="0" w:before="0"/>
        <w:contextualSpacing w:val="false"/>
      </w:pPr>
      <w:r>
        <w:rPr>
          <w:rFonts w:ascii="Times New Roman" w:cs="Times New Roman" w:hAnsi="Times New Roman"/>
          <w:b/>
          <w:color w:val="000000"/>
        </w:rPr>
        <w:tab/>
      </w:r>
    </w:p>
    <w:p>
      <w:pPr>
        <w:pStyle w:val="style1"/>
        <w:numPr>
          <w:ilvl w:val="0"/>
          <w:numId w:val="2"/>
        </w:numPr>
        <w:ind w:hanging="0" w:left="0" w:right="-529"/>
        <w:jc w:val="center"/>
      </w:pPr>
      <w:r>
        <w:rPr>
          <w:color w:val="000000"/>
        </w:rPr>
        <w:t>П О С Т А Н О В Л Е Н И Е</w:t>
      </w:r>
    </w:p>
    <w:p>
      <w:pPr>
        <w:pStyle w:val="style0"/>
      </w:pPr>
      <w:r>
        <w:rPr>
          <w:color w:val="000000"/>
          <w:sz w:val="28"/>
        </w:rPr>
        <w:t xml:space="preserve">        </w:t>
      </w:r>
    </w:p>
    <w:p>
      <w:pPr>
        <w:pStyle w:val="style2"/>
        <w:numPr>
          <w:ilvl w:val="1"/>
          <w:numId w:val="3"/>
        </w:numPr>
      </w:pPr>
      <w:r>
        <w:rPr>
          <w:i w:val="false"/>
          <w:iCs w:val="false"/>
          <w:color w:val="000000"/>
        </w:rPr>
        <w:t xml:space="preserve"> </w:t>
      </w:r>
      <w:r>
        <w:rPr>
          <w:b/>
          <w:i w:val="false"/>
          <w:iCs w:val="false"/>
          <w:color w:val="000000"/>
        </w:rPr>
        <w:t xml:space="preserve">От  </w:t>
      </w:r>
      <w:r>
        <w:rPr>
          <w:b/>
          <w:i w:val="false"/>
          <w:iCs w:val="false"/>
          <w:color w:val="000000"/>
        </w:rPr>
        <w:t>30</w:t>
      </w:r>
      <w:r>
        <w:rPr>
          <w:b/>
          <w:i w:val="false"/>
          <w:iCs w:val="false"/>
          <w:color w:val="000000"/>
        </w:rPr>
        <w:t xml:space="preserve"> </w:t>
      </w:r>
      <w:r>
        <w:rPr>
          <w:b/>
          <w:i w:val="false"/>
          <w:iCs w:val="false"/>
          <w:color w:val="000000"/>
        </w:rPr>
        <w:t xml:space="preserve">декабря </w:t>
      </w:r>
      <w:r>
        <w:rPr>
          <w:b/>
          <w:i w:val="false"/>
          <w:iCs w:val="false"/>
          <w:color w:val="000000"/>
        </w:rPr>
        <w:t>201</w:t>
      </w:r>
      <w:r>
        <w:rPr>
          <w:b/>
          <w:i w:val="false"/>
          <w:iCs w:val="false"/>
          <w:color w:val="000000"/>
        </w:rPr>
        <w:t>5</w:t>
      </w:r>
      <w:r>
        <w:rPr>
          <w:b/>
          <w:i w:val="false"/>
          <w:iCs w:val="false"/>
          <w:color w:val="000000"/>
        </w:rPr>
        <w:t xml:space="preserve">  года                                                                    № </w:t>
      </w:r>
      <w:r>
        <w:rPr>
          <w:b/>
          <w:i w:val="false"/>
          <w:iCs w:val="false"/>
          <w:color w:val="000000"/>
        </w:rPr>
        <w:t>194</w:t>
      </w:r>
    </w:p>
    <w:p>
      <w:pPr>
        <w:pStyle w:val="style0"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«Об утверждении группы по оплате труда </w:t>
      </w:r>
    </w:p>
    <w:p>
      <w:pPr>
        <w:pStyle w:val="style0"/>
        <w:spacing w:after="198" w:before="0"/>
        <w:contextualSpacing/>
        <w:jc w:val="both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руководителей муниципального казенного </w:t>
      </w:r>
    </w:p>
    <w:p>
      <w:pPr>
        <w:pStyle w:val="style0"/>
        <w:spacing w:after="198" w:before="0"/>
        <w:contextualSpacing/>
        <w:jc w:val="both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 xml:space="preserve">учреждения КДЦ «Селяночка» </w:t>
      </w:r>
    </w:p>
    <w:p>
      <w:pPr>
        <w:pStyle w:val="style0"/>
        <w:spacing w:after="198" w:before="0"/>
        <w:contextualSpacing/>
        <w:jc w:val="both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Волошовского сельского поселения»</w:t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основании Положения о порядке отнесения мунципальных учреждений культуры к группе по оплате труда руководителей и в соответствии со ст. ст.135,143 ТК РФ , ФЗ РФ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 «Об общих принципах организации местного самоуправления в РФ», Законом РФ от 09.10.1992 года № 3612-1 (с изменениями от 22.08.2004 г. № 122-ФЗ) «Основы законодательства РФ о культуре», на основании показателей деятельности учреждения за 2015 год,</w:t>
      </w:r>
    </w:p>
    <w:p>
      <w:pPr>
        <w:pStyle w:val="style0"/>
        <w:shd w:fill="FFFFFF" w:val="clear"/>
        <w:spacing w:after="278" w:before="0"/>
        <w:ind w:firstLine="15" w:left="0" w:right="0"/>
        <w:contextualSpacing w:val="false"/>
        <w:jc w:val="left"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style0"/>
        <w:shd w:fill="FFFFFF" w:val="clear"/>
        <w:tabs/>
        <w:spacing w:after="278" w:before="0"/>
        <w:ind w:hanging="15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bookmarkStart w:id="0" w:name="__DdeLink__45_671414662"/>
      <w:r>
        <w:rPr>
          <w:rFonts w:ascii="Times New Roman" w:hAnsi="Times New Roman"/>
          <w:sz w:val="28"/>
          <w:szCs w:val="28"/>
        </w:rPr>
        <w:t>муниципального казенного учреждения КДЦ «Селяночка» Волошовского сельского поселения</w:t>
      </w:r>
      <w:bookmarkEnd w:id="0"/>
      <w:r>
        <w:rPr>
          <w:rFonts w:ascii="Times New Roman" w:hAnsi="Times New Roman"/>
          <w:sz w:val="28"/>
          <w:szCs w:val="28"/>
        </w:rPr>
        <w:t>, для определения группы по оплате труда руководителей учреждения за 2015 год.</w:t>
      </w:r>
    </w:p>
    <w:p>
      <w:pPr>
        <w:pStyle w:val="style0"/>
        <w:shd w:fill="FFFFFF" w:val="clear"/>
        <w:tabs/>
        <w:spacing w:after="278" w:before="0"/>
        <w:ind w:hanging="15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связи с дефицитом средств  местного бюджета, установить</w:t>
      </w:r>
      <w:r>
        <w:rPr>
          <w:rFonts w:ascii="Times New Roman" w:hAnsi="Times New Roman"/>
          <w:sz w:val="28"/>
          <w:szCs w:val="28"/>
        </w:rPr>
        <w:t xml:space="preserve"> с 01 января 2016 года 6 группу по оплате труда  муниципального казенного учреждения КДЦ «Селяночка» Волошовского сельского поселения.</w:t>
      </w:r>
    </w:p>
    <w:p>
      <w:pPr>
        <w:pStyle w:val="style0"/>
        <w:shd w:fill="FFFFFF" w:val="clear"/>
        <w:tabs/>
        <w:spacing w:after="278" w:before="0"/>
        <w:ind w:hanging="15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style0"/>
        <w:shd w:fill="FFFFFF" w:val="clear"/>
        <w:tabs/>
        <w:spacing w:after="278" w:before="0"/>
        <w:ind w:hanging="15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4. Постановление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Волошовского сельского поселения.</w:t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Глава администрации</w:t>
      </w:r>
    </w:p>
    <w:p>
      <w:pPr>
        <w:pStyle w:val="style0"/>
        <w:spacing w:after="198" w:before="0"/>
        <w:contextualSpacing/>
        <w:jc w:val="both"/>
      </w:pPr>
      <w:r>
        <w:rPr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>Волошовского сельского поселения                                                     Дюба Н.В.</w:t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/>
      </w:r>
    </w:p>
    <w:p>
      <w:pPr>
        <w:pStyle w:val="style0"/>
        <w:spacing w:after="198" w:before="0"/>
        <w:contextualSpacing/>
        <w:jc w:val="both"/>
      </w:pPr>
      <w:r>
        <w:rPr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 xml:space="preserve">        </w:t>
      </w:r>
    </w:p>
    <w:p>
      <w:pPr>
        <w:pStyle w:val="style0"/>
        <w:spacing w:after="0" w:before="0"/>
        <w:contextualSpacing/>
        <w:jc w:val="both"/>
      </w:pPr>
      <w:r>
        <w:rPr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</w:t>
      </w:r>
    </w:p>
    <w:p>
      <w:pPr>
        <w:pStyle w:val="style0"/>
        <w:spacing w:after="0" w:before="0"/>
        <w:contextualSpacing/>
        <w:jc w:val="both"/>
      </w:pPr>
      <w:r>
        <w:rPr/>
      </w:r>
    </w:p>
    <w:p>
      <w:pPr>
        <w:pStyle w:val="style0"/>
        <w:spacing w:after="0" w:before="0"/>
        <w:contextualSpacing/>
        <w:jc w:val="both"/>
      </w:pPr>
      <w:r>
        <w:rPr/>
      </w:r>
    </w:p>
    <w:p>
      <w:pPr>
        <w:pStyle w:val="style0"/>
        <w:spacing w:after="0" w:before="0"/>
        <w:contextualSpacing/>
        <w:jc w:val="both"/>
      </w:pPr>
      <w:r>
        <w:rPr/>
      </w:r>
    </w:p>
    <w:sectPr>
      <w:type w:val="nextPage"/>
      <w:pgSz w:h="16838" w:w="11906"/>
      <w:pgMar w:bottom="851" w:footer="0" w:gutter="0" w:header="0" w:left="1701" w:right="850" w:top="568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21"/>
    <w:pPr>
      <w:keepNext/>
      <w:spacing w:after="0" w:before="0" w:line="100" w:lineRule="atLeast"/>
      <w:ind w:hanging="0" w:left="0" w:right="-529"/>
      <w:contextualSpacing w:val="false"/>
    </w:pPr>
    <w:rPr>
      <w:rFonts w:ascii="Times New Roman" w:cs="Times New Roman" w:eastAsia="Arial Unicode MS" w:hAnsi="Times New Roman"/>
      <w:b/>
      <w:bCs/>
      <w:sz w:val="36"/>
      <w:szCs w:val="24"/>
    </w:rPr>
  </w:style>
  <w:style w:styleId="style2" w:type="paragraph">
    <w:name w:val="Заголовок 2"/>
    <w:basedOn w:val="style0"/>
    <w:next w:val="style21"/>
    <w:pPr>
      <w:keepNext/>
      <w:numPr>
        <w:ilvl w:val="1"/>
        <w:numId w:val="1"/>
      </w:numPr>
      <w:spacing w:after="0" w:before="0" w:line="100" w:lineRule="atLeast"/>
      <w:contextualSpacing w:val="false"/>
      <w:outlineLvl w:val="1"/>
    </w:pPr>
    <w:rPr>
      <w:rFonts w:ascii="Times New Roman" w:cs="Times New Roman" w:eastAsia="Arial Unicode MS" w:hAnsi="Times New Roman"/>
      <w:b/>
      <w:bCs/>
      <w:i/>
      <w:iCs/>
      <w:sz w:val="28"/>
      <w:szCs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Arial Unicode MS" w:hAnsi="Times New Roman"/>
      <w:b/>
      <w:bCs/>
      <w:sz w:val="36"/>
      <w:szCs w:val="24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Arial Unicode MS" w:hAnsi="Times New Roman"/>
      <w:sz w:val="28"/>
      <w:szCs w:val="24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Посещённая гиперссылка"/>
    <w:next w:val="style19"/>
    <w:rPr>
      <w:color w:val="800000"/>
      <w:u w:val="single"/>
      <w:lang w:bidi="ru-RU" w:eastAsia="ru-RU" w:val="ru-RU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ohit Hindi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Hindi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ConsPlusNormal"/>
    <w:next w:val="style26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Arial" w:cs="Arial" w:eastAsia="DejaVu Sans" w:hAnsi="Arial"/>
      <w:color w:val="00000A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2015-05-19T07:04:00.00Z</dcterms:created>
  <dc:creator>Glava</dc:creator>
  <cp:lastModifiedBy>Glava</cp:lastModifiedBy>
  <cp:lastPrinted>2015-05-19T08:40:00.00Z</cp:lastPrinted>
  <dcterms:modified xsi:type="dcterms:W3CDTF">2015-05-19T08:41:00.00Z</dcterms:modified>
  <cp:revision>6</cp:revision>
</cp:coreProperties>
</file>